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3330"/>
        <w:gridCol w:w="355"/>
        <w:gridCol w:w="2965"/>
      </w:tblGrid>
      <w:tr w:rsidR="00E34463" w:rsidRPr="00BA50EC" w14:paraId="422A0366" w14:textId="77777777" w:rsidTr="0045431C">
        <w:trPr>
          <w:trHeight w:val="234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7A1DA" w14:textId="77777777" w:rsidR="00E34463" w:rsidRDefault="00E34463" w:rsidP="004543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722180" wp14:editId="787BFE84">
                  <wp:extent cx="1407433" cy="13430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TIPL+-+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333" cy="13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90DE0" w14:textId="77777777" w:rsidR="00E34463" w:rsidRDefault="00E34463" w:rsidP="0045431C">
            <w:pPr>
              <w:jc w:val="center"/>
              <w:rPr>
                <w:b/>
                <w:sz w:val="40"/>
                <w:szCs w:val="40"/>
              </w:rPr>
            </w:pPr>
            <w:r w:rsidRPr="00BA50EC">
              <w:rPr>
                <w:b/>
                <w:sz w:val="40"/>
                <w:szCs w:val="40"/>
              </w:rPr>
              <w:t>Leeds and the</w:t>
            </w:r>
          </w:p>
          <w:p w14:paraId="57F61082" w14:textId="77777777" w:rsidR="00E34463" w:rsidRDefault="00E34463" w:rsidP="0045431C">
            <w:pPr>
              <w:jc w:val="center"/>
              <w:rPr>
                <w:b/>
                <w:sz w:val="40"/>
                <w:szCs w:val="40"/>
              </w:rPr>
            </w:pPr>
            <w:r w:rsidRPr="00BA50EC">
              <w:rPr>
                <w:b/>
                <w:sz w:val="40"/>
                <w:szCs w:val="40"/>
              </w:rPr>
              <w:t>Thousand Islands</w:t>
            </w:r>
          </w:p>
          <w:p w14:paraId="15E425AB" w14:textId="77777777" w:rsidR="00E34463" w:rsidRPr="00BA50EC" w:rsidRDefault="00E34463" w:rsidP="0045431C">
            <w:pPr>
              <w:jc w:val="center"/>
              <w:rPr>
                <w:b/>
                <w:sz w:val="40"/>
                <w:szCs w:val="40"/>
              </w:rPr>
            </w:pPr>
            <w:r w:rsidRPr="00BA50EC">
              <w:rPr>
                <w:b/>
                <w:sz w:val="40"/>
                <w:szCs w:val="40"/>
              </w:rPr>
              <w:t>Public Library Board</w:t>
            </w:r>
          </w:p>
          <w:p w14:paraId="6C85CDD0" w14:textId="77777777" w:rsidR="00E34463" w:rsidRDefault="00E34463" w:rsidP="0045431C"/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58358" w14:textId="77777777" w:rsidR="00E34463" w:rsidRDefault="00E34463" w:rsidP="004543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Policy</w:t>
            </w:r>
          </w:p>
          <w:p w14:paraId="73FCBEA0" w14:textId="77777777" w:rsidR="00E34463" w:rsidRPr="00BA50EC" w:rsidRDefault="00E34463" w:rsidP="0045431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34463" w:rsidRPr="00BA50EC" w14:paraId="2DB5B58E" w14:textId="77777777" w:rsidTr="0045431C">
        <w:trPr>
          <w:trHeight w:val="377"/>
        </w:trPr>
        <w:tc>
          <w:tcPr>
            <w:tcW w:w="6030" w:type="dxa"/>
            <w:gridSpan w:val="2"/>
            <w:tcBorders>
              <w:top w:val="single" w:sz="4" w:space="0" w:color="auto"/>
            </w:tcBorders>
          </w:tcPr>
          <w:p w14:paraId="60D142E2" w14:textId="77777777" w:rsidR="00E34463" w:rsidRPr="00BA50EC" w:rsidRDefault="00E34463" w:rsidP="0045431C">
            <w:pPr>
              <w:rPr>
                <w:b/>
              </w:rPr>
            </w:pPr>
            <w:r w:rsidRPr="00BA50EC">
              <w:rPr>
                <w:b/>
              </w:rPr>
              <w:t xml:space="preserve">SECTION: </w:t>
            </w:r>
            <w:r>
              <w:rPr>
                <w:b/>
              </w:rPr>
              <w:t>Financial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</w:tcBorders>
          </w:tcPr>
          <w:p w14:paraId="56FFC858" w14:textId="77777777" w:rsidR="00E34463" w:rsidRPr="00BA50EC" w:rsidRDefault="00E34463" w:rsidP="0045431C">
            <w:pPr>
              <w:rPr>
                <w:b/>
              </w:rPr>
            </w:pPr>
            <w:r w:rsidRPr="00BA50EC">
              <w:rPr>
                <w:b/>
              </w:rPr>
              <w:t>NO:</w:t>
            </w:r>
            <w:r>
              <w:rPr>
                <w:b/>
              </w:rPr>
              <w:t xml:space="preserve"> FN - 04</w:t>
            </w:r>
          </w:p>
        </w:tc>
      </w:tr>
      <w:tr w:rsidR="00E34463" w:rsidRPr="00BA50EC" w14:paraId="60FED224" w14:textId="77777777" w:rsidTr="0045431C">
        <w:tc>
          <w:tcPr>
            <w:tcW w:w="6030" w:type="dxa"/>
            <w:gridSpan w:val="2"/>
          </w:tcPr>
          <w:p w14:paraId="2F02DD68" w14:textId="77777777" w:rsidR="00E34463" w:rsidRPr="00BA50EC" w:rsidRDefault="00E34463" w:rsidP="0045431C">
            <w:pPr>
              <w:rPr>
                <w:b/>
              </w:rPr>
            </w:pPr>
            <w:r w:rsidRPr="00BA50EC">
              <w:rPr>
                <w:b/>
              </w:rPr>
              <w:t xml:space="preserve">TITLE: </w:t>
            </w:r>
            <w:r>
              <w:rPr>
                <w:b/>
              </w:rPr>
              <w:t>Donations and Gifts</w:t>
            </w:r>
          </w:p>
          <w:p w14:paraId="1BF4A9F0" w14:textId="77777777" w:rsidR="00E34463" w:rsidRPr="00BA50EC" w:rsidRDefault="00E34463" w:rsidP="0045431C">
            <w:pPr>
              <w:rPr>
                <w:b/>
              </w:rPr>
            </w:pPr>
          </w:p>
        </w:tc>
        <w:tc>
          <w:tcPr>
            <w:tcW w:w="3320" w:type="dxa"/>
            <w:gridSpan w:val="2"/>
          </w:tcPr>
          <w:p w14:paraId="142816C9" w14:textId="744F33DD" w:rsidR="00E34463" w:rsidRPr="00BA50EC" w:rsidRDefault="00E34463" w:rsidP="0045431C">
            <w:pPr>
              <w:rPr>
                <w:b/>
              </w:rPr>
            </w:pPr>
            <w:r w:rsidRPr="00BA50EC">
              <w:rPr>
                <w:b/>
              </w:rPr>
              <w:t>Date:</w:t>
            </w:r>
            <w:r w:rsidR="00E36CB2">
              <w:rPr>
                <w:b/>
              </w:rPr>
              <w:t xml:space="preserve"> June 19, 2023</w:t>
            </w:r>
          </w:p>
        </w:tc>
      </w:tr>
      <w:tr w:rsidR="00E34463" w:rsidRPr="00BA50EC" w14:paraId="63466A8A" w14:textId="77777777" w:rsidTr="0045431C">
        <w:tc>
          <w:tcPr>
            <w:tcW w:w="6030" w:type="dxa"/>
            <w:gridSpan w:val="2"/>
          </w:tcPr>
          <w:p w14:paraId="2AD0A6F7" w14:textId="77777777" w:rsidR="00E34463" w:rsidRPr="00BA50EC" w:rsidRDefault="00E34463" w:rsidP="0045431C">
            <w:pPr>
              <w:rPr>
                <w:b/>
              </w:rPr>
            </w:pPr>
          </w:p>
        </w:tc>
        <w:tc>
          <w:tcPr>
            <w:tcW w:w="3320" w:type="dxa"/>
            <w:gridSpan w:val="2"/>
          </w:tcPr>
          <w:p w14:paraId="21A21D2F" w14:textId="441DF192" w:rsidR="00E34463" w:rsidRPr="00BA50EC" w:rsidRDefault="00E34463" w:rsidP="0045431C">
            <w:pPr>
              <w:rPr>
                <w:b/>
              </w:rPr>
            </w:pPr>
            <w:r>
              <w:rPr>
                <w:b/>
              </w:rPr>
              <w:t>Next Review Date:</w:t>
            </w:r>
            <w:r w:rsidR="00E36CB2">
              <w:rPr>
                <w:b/>
              </w:rPr>
              <w:t xml:space="preserve"> June 2028</w:t>
            </w:r>
          </w:p>
        </w:tc>
      </w:tr>
    </w:tbl>
    <w:p w14:paraId="45293E39" w14:textId="77777777" w:rsidR="002C3644" w:rsidRDefault="002C3644"/>
    <w:p w14:paraId="527205CC" w14:textId="3784BF82" w:rsidR="00E34463" w:rsidRPr="00D96347" w:rsidRDefault="00E34463" w:rsidP="00E34463">
      <w:pPr>
        <w:pStyle w:val="NoSpacing"/>
        <w:numPr>
          <w:ilvl w:val="0"/>
          <w:numId w:val="1"/>
        </w:numPr>
        <w:rPr>
          <w:b/>
          <w:bCs/>
        </w:rPr>
      </w:pPr>
      <w:r w:rsidRPr="00D96347">
        <w:rPr>
          <w:b/>
          <w:bCs/>
        </w:rPr>
        <w:t>Policy Statement</w:t>
      </w:r>
    </w:p>
    <w:p w14:paraId="5E97404F" w14:textId="77777777" w:rsidR="00E34463" w:rsidRDefault="00E34463" w:rsidP="00E34463">
      <w:pPr>
        <w:pStyle w:val="NoSpacing"/>
        <w:ind w:left="372"/>
      </w:pPr>
    </w:p>
    <w:p w14:paraId="615B117F" w14:textId="2AB03823" w:rsidR="00E34463" w:rsidRDefault="00E34463" w:rsidP="00247561">
      <w:pPr>
        <w:pStyle w:val="NoSpacing"/>
        <w:numPr>
          <w:ilvl w:val="1"/>
          <w:numId w:val="1"/>
        </w:numPr>
      </w:pPr>
      <w:r>
        <w:t xml:space="preserve">The Leeds and the Thousand Islands Public Library </w:t>
      </w:r>
      <w:r w:rsidR="00247561">
        <w:t xml:space="preserve">(the “Library”) </w:t>
      </w:r>
      <w:r>
        <w:t xml:space="preserve">welcomes and encourages </w:t>
      </w:r>
      <w:r w:rsidR="00247561">
        <w:t xml:space="preserve"> </w:t>
      </w:r>
      <w:r>
        <w:t xml:space="preserve">contributions from individuals, groups, foundations and businesses for the purpose of enhancing and enriching the programs and services that the </w:t>
      </w:r>
      <w:r w:rsidR="00247561">
        <w:t>L</w:t>
      </w:r>
      <w:r>
        <w:t xml:space="preserve">ibrary provides for the residents of Leeds and the Thousand Islands Township. This policy sets out the requirements for general gift acceptance in accordance with the </w:t>
      </w:r>
      <w:r w:rsidR="00247561">
        <w:t>Li</w:t>
      </w:r>
      <w:r>
        <w:t>brary’s charitable status.</w:t>
      </w:r>
    </w:p>
    <w:p w14:paraId="623D07FC" w14:textId="6EFE13B0" w:rsidR="00E34463" w:rsidRDefault="00E34463" w:rsidP="00E34463">
      <w:pPr>
        <w:pStyle w:val="NoSpacing"/>
      </w:pPr>
    </w:p>
    <w:p w14:paraId="074B675B" w14:textId="34380903" w:rsidR="00E34463" w:rsidRPr="00D96347" w:rsidRDefault="00E34463" w:rsidP="00E34463">
      <w:pPr>
        <w:pStyle w:val="NoSpacing"/>
        <w:rPr>
          <w:b/>
          <w:bCs/>
        </w:rPr>
      </w:pPr>
      <w:r w:rsidRPr="00D96347">
        <w:rPr>
          <w:b/>
          <w:bCs/>
        </w:rPr>
        <w:t>2.0 Ethics and Definitions</w:t>
      </w:r>
    </w:p>
    <w:p w14:paraId="7C4A9C24" w14:textId="77777777" w:rsidR="00E34463" w:rsidRDefault="00E34463" w:rsidP="00E34463">
      <w:pPr>
        <w:pStyle w:val="NoSpacing"/>
      </w:pPr>
    </w:p>
    <w:p w14:paraId="3A3FF798" w14:textId="550F9232" w:rsidR="00E34463" w:rsidRDefault="00E34463" w:rsidP="00E34463">
      <w:pPr>
        <w:pStyle w:val="NoSpacing"/>
      </w:pPr>
      <w:r>
        <w:tab/>
        <w:t>2.1 The Leeds and the Thousand Islands Public Library is committed to the highest standards of</w:t>
      </w:r>
    </w:p>
    <w:p w14:paraId="2EA3D998" w14:textId="5AB437BB" w:rsidR="00E34463" w:rsidRDefault="00E34463" w:rsidP="00E34463">
      <w:pPr>
        <w:pStyle w:val="NoSpacing"/>
      </w:pPr>
      <w:r>
        <w:tab/>
        <w:t xml:space="preserve">       philanthropy, financial accountability and development practice as articulated in the </w:t>
      </w:r>
      <w:r w:rsidRPr="00E34463">
        <w:rPr>
          <w:b/>
          <w:bCs/>
          <w:i/>
          <w:iCs/>
        </w:rPr>
        <w:t>Donor</w:t>
      </w:r>
    </w:p>
    <w:p w14:paraId="5B4B20A8" w14:textId="151015F1" w:rsidR="00E34463" w:rsidRDefault="00E34463" w:rsidP="00E34463">
      <w:pPr>
        <w:pStyle w:val="NoSpacing"/>
      </w:pPr>
      <w:r>
        <w:t xml:space="preserve">                     </w:t>
      </w:r>
      <w:r w:rsidRPr="00E34463">
        <w:rPr>
          <w:b/>
          <w:bCs/>
          <w:i/>
          <w:iCs/>
        </w:rPr>
        <w:t>Bill of Rights</w:t>
      </w:r>
      <w:r>
        <w:t xml:space="preserve"> (Appendix A).</w:t>
      </w:r>
    </w:p>
    <w:p w14:paraId="4F5303D1" w14:textId="77777777" w:rsidR="00E34463" w:rsidRDefault="00E34463" w:rsidP="00E34463">
      <w:pPr>
        <w:pStyle w:val="NoSpacing"/>
      </w:pPr>
    </w:p>
    <w:p w14:paraId="240CDFDD" w14:textId="77777777" w:rsidR="007D07B5" w:rsidRDefault="00E34463" w:rsidP="007D07B5">
      <w:pPr>
        <w:pStyle w:val="NoSpacing"/>
        <w:ind w:left="720"/>
      </w:pPr>
      <w:r>
        <w:t xml:space="preserve">2.2 The Canada Revenue Agency </w:t>
      </w:r>
      <w:r w:rsidR="007D07B5">
        <w:t>(“CRA”)</w:t>
      </w:r>
      <w:r>
        <w:t xml:space="preserve">defines a donation as a voluntary transfer of property to </w:t>
      </w:r>
      <w:r w:rsidR="007D07B5">
        <w:t xml:space="preserve"> </w:t>
      </w:r>
    </w:p>
    <w:p w14:paraId="788C2D2F" w14:textId="6AD245F6" w:rsidR="00E34463" w:rsidRDefault="007D07B5" w:rsidP="007D07B5">
      <w:pPr>
        <w:pStyle w:val="NoSpacing"/>
        <w:ind w:left="720"/>
      </w:pPr>
      <w:r>
        <w:t xml:space="preserve">  </w:t>
      </w:r>
      <w:r w:rsidR="00E34463">
        <w:t xml:space="preserve">   </w:t>
      </w:r>
      <w:r>
        <w:t xml:space="preserve">  the </w:t>
      </w:r>
      <w:r w:rsidR="00247561">
        <w:t>L</w:t>
      </w:r>
      <w:r w:rsidR="00E34463">
        <w:t>ibrary made without the expectation that any benefit will accrue to the donor.</w:t>
      </w:r>
    </w:p>
    <w:p w14:paraId="31FBB039" w14:textId="77777777" w:rsidR="00E34463" w:rsidRDefault="00E34463" w:rsidP="00E34463">
      <w:pPr>
        <w:pStyle w:val="NoSpacing"/>
      </w:pPr>
    </w:p>
    <w:p w14:paraId="587BBD6F" w14:textId="42440918" w:rsidR="00E34463" w:rsidRPr="00474528" w:rsidRDefault="00E34463" w:rsidP="00E34463">
      <w:pPr>
        <w:pStyle w:val="NoSpacing"/>
        <w:rPr>
          <w:b/>
          <w:bCs/>
        </w:rPr>
      </w:pPr>
      <w:r w:rsidRPr="00474528">
        <w:rPr>
          <w:b/>
          <w:bCs/>
        </w:rPr>
        <w:t>3.0 Types of Gifts</w:t>
      </w:r>
    </w:p>
    <w:p w14:paraId="5CACDCE0" w14:textId="77777777" w:rsidR="00E34463" w:rsidRDefault="00E34463" w:rsidP="00E34463">
      <w:pPr>
        <w:pStyle w:val="NoSpacing"/>
      </w:pPr>
    </w:p>
    <w:p w14:paraId="66969807" w14:textId="113B51EE" w:rsidR="00E34463" w:rsidRDefault="00E34463" w:rsidP="00E34463">
      <w:pPr>
        <w:pStyle w:val="NoSpacing"/>
      </w:pPr>
      <w:r>
        <w:tab/>
        <w:t>3.1 The Library accepts the following types of contributions:</w:t>
      </w:r>
    </w:p>
    <w:p w14:paraId="0238B475" w14:textId="77777777" w:rsidR="00247561" w:rsidRDefault="00247561" w:rsidP="00E34463">
      <w:pPr>
        <w:pStyle w:val="NoSpacing"/>
      </w:pPr>
    </w:p>
    <w:p w14:paraId="5895BAA7" w14:textId="7A0433D1" w:rsidR="00247561" w:rsidRDefault="00247561" w:rsidP="00247561">
      <w:pPr>
        <w:pStyle w:val="NoSpacing"/>
        <w:numPr>
          <w:ilvl w:val="0"/>
          <w:numId w:val="2"/>
        </w:numPr>
      </w:pPr>
      <w:r>
        <w:t>books, manuscripts and other printed material</w:t>
      </w:r>
    </w:p>
    <w:p w14:paraId="03392E14" w14:textId="4E96F318" w:rsidR="00247561" w:rsidRDefault="00247561" w:rsidP="00247561">
      <w:pPr>
        <w:pStyle w:val="NoSpacing"/>
        <w:numPr>
          <w:ilvl w:val="0"/>
          <w:numId w:val="2"/>
        </w:numPr>
      </w:pPr>
      <w:r>
        <w:t>audio visual material</w:t>
      </w:r>
    </w:p>
    <w:p w14:paraId="55FBBD36" w14:textId="0E2EEF71" w:rsidR="00247561" w:rsidRDefault="00247561" w:rsidP="00247561">
      <w:pPr>
        <w:pStyle w:val="NoSpacing"/>
        <w:numPr>
          <w:ilvl w:val="0"/>
          <w:numId w:val="2"/>
        </w:numPr>
      </w:pPr>
      <w:r>
        <w:t>art and photographic works of archival significance</w:t>
      </w:r>
    </w:p>
    <w:p w14:paraId="75B36869" w14:textId="3DD242A8" w:rsidR="00247561" w:rsidRDefault="00247561" w:rsidP="00247561">
      <w:pPr>
        <w:pStyle w:val="NoSpacing"/>
        <w:numPr>
          <w:ilvl w:val="0"/>
          <w:numId w:val="2"/>
        </w:numPr>
      </w:pPr>
      <w:r>
        <w:t>material of significance for local history and genealogy</w:t>
      </w:r>
    </w:p>
    <w:p w14:paraId="1FD4BB22" w14:textId="35BB7F87" w:rsidR="00247561" w:rsidRDefault="00247561" w:rsidP="00247561">
      <w:pPr>
        <w:pStyle w:val="NoSpacing"/>
        <w:numPr>
          <w:ilvl w:val="0"/>
          <w:numId w:val="2"/>
        </w:numPr>
      </w:pPr>
      <w:r>
        <w:t>equipment</w:t>
      </w:r>
    </w:p>
    <w:p w14:paraId="399853A4" w14:textId="13CBB334" w:rsidR="00247561" w:rsidRDefault="00247561" w:rsidP="00247561">
      <w:pPr>
        <w:pStyle w:val="NoSpacing"/>
        <w:numPr>
          <w:ilvl w:val="0"/>
          <w:numId w:val="2"/>
        </w:numPr>
      </w:pPr>
      <w:r>
        <w:t>toys</w:t>
      </w:r>
    </w:p>
    <w:p w14:paraId="7A9E930E" w14:textId="30452F9A" w:rsidR="00247561" w:rsidRDefault="00247561" w:rsidP="00247561">
      <w:pPr>
        <w:pStyle w:val="NoSpacing"/>
        <w:numPr>
          <w:ilvl w:val="0"/>
          <w:numId w:val="2"/>
        </w:numPr>
      </w:pPr>
      <w:r>
        <w:t>cash</w:t>
      </w:r>
    </w:p>
    <w:p w14:paraId="54433508" w14:textId="2656FD43" w:rsidR="00247561" w:rsidRDefault="00247561" w:rsidP="00247561">
      <w:pPr>
        <w:pStyle w:val="NoSpacing"/>
        <w:numPr>
          <w:ilvl w:val="0"/>
          <w:numId w:val="2"/>
        </w:numPr>
      </w:pPr>
      <w:r>
        <w:t>other in-kind</w:t>
      </w:r>
      <w:r w:rsidR="004E5FC7">
        <w:t>,</w:t>
      </w:r>
      <w:r>
        <w:t xml:space="preserve"> gifts and services</w:t>
      </w:r>
    </w:p>
    <w:p w14:paraId="09BE94AD" w14:textId="054E5AD1" w:rsidR="00247561" w:rsidRDefault="00247561" w:rsidP="00247561">
      <w:pPr>
        <w:pStyle w:val="NoSpacing"/>
        <w:numPr>
          <w:ilvl w:val="0"/>
          <w:numId w:val="2"/>
        </w:numPr>
      </w:pPr>
      <w:r>
        <w:t>property of significant value, such as real estate</w:t>
      </w:r>
    </w:p>
    <w:p w14:paraId="596ABDBE" w14:textId="77777777" w:rsidR="00F50B36" w:rsidRDefault="00247561" w:rsidP="00F50B36">
      <w:pPr>
        <w:pStyle w:val="NoSpacing"/>
        <w:numPr>
          <w:ilvl w:val="0"/>
          <w:numId w:val="2"/>
        </w:numPr>
      </w:pPr>
      <w:r>
        <w:t>transfers of securities</w:t>
      </w:r>
    </w:p>
    <w:p w14:paraId="239AAD3F" w14:textId="179565B0" w:rsidR="00247561" w:rsidRDefault="00247561" w:rsidP="00F50B36">
      <w:pPr>
        <w:pStyle w:val="NoSpacing"/>
        <w:numPr>
          <w:ilvl w:val="0"/>
          <w:numId w:val="2"/>
        </w:numPr>
      </w:pPr>
      <w:r>
        <w:t>planned gifts such as bequests of gifts of life insurance</w:t>
      </w:r>
    </w:p>
    <w:p w14:paraId="747826C7" w14:textId="77777777" w:rsidR="00247561" w:rsidRDefault="00247561" w:rsidP="00247561">
      <w:pPr>
        <w:pStyle w:val="NoSpacing"/>
      </w:pPr>
    </w:p>
    <w:p w14:paraId="51CE6175" w14:textId="2CFAD69D" w:rsidR="00247561" w:rsidRPr="00474528" w:rsidRDefault="00247561" w:rsidP="00247561">
      <w:pPr>
        <w:pStyle w:val="NoSpacing"/>
        <w:rPr>
          <w:b/>
          <w:bCs/>
        </w:rPr>
      </w:pPr>
      <w:r w:rsidRPr="00474528">
        <w:rPr>
          <w:b/>
          <w:bCs/>
        </w:rPr>
        <w:t>4.0 Acceptance of donations</w:t>
      </w:r>
    </w:p>
    <w:p w14:paraId="052E503D" w14:textId="77777777" w:rsidR="00247561" w:rsidRDefault="00247561" w:rsidP="00247561">
      <w:pPr>
        <w:pStyle w:val="NoSpacing"/>
      </w:pPr>
    </w:p>
    <w:p w14:paraId="1FC1E88A" w14:textId="50B9B87D" w:rsidR="00247561" w:rsidRDefault="00247561" w:rsidP="00247561">
      <w:pPr>
        <w:pStyle w:val="NoSpacing"/>
      </w:pPr>
      <w:r>
        <w:tab/>
        <w:t xml:space="preserve">4.1 The Library evaluates all donations and accepts only those which it feels align with the </w:t>
      </w:r>
    </w:p>
    <w:p w14:paraId="6F1A221B" w14:textId="2A7D5AF4" w:rsidR="00247561" w:rsidRDefault="00247561" w:rsidP="00247561">
      <w:pPr>
        <w:pStyle w:val="NoSpacing"/>
      </w:pPr>
      <w:r>
        <w:t xml:space="preserve">                     mission, values and standards of the Library.</w:t>
      </w:r>
    </w:p>
    <w:p w14:paraId="5AD2A439" w14:textId="77777777" w:rsidR="00247561" w:rsidRDefault="00247561" w:rsidP="00247561">
      <w:pPr>
        <w:pStyle w:val="NoSpacing"/>
      </w:pPr>
    </w:p>
    <w:p w14:paraId="4F7A8A68" w14:textId="39DCCA17" w:rsidR="00247561" w:rsidRDefault="00247561" w:rsidP="00247561">
      <w:pPr>
        <w:pStyle w:val="NoSpacing"/>
      </w:pPr>
      <w:r>
        <w:tab/>
        <w:t xml:space="preserve">4.2 Donations will become the exclusive property of the Library which must be clearly </w:t>
      </w:r>
    </w:p>
    <w:p w14:paraId="7DD087D8" w14:textId="0981FB6C" w:rsidR="00247561" w:rsidRDefault="00247561" w:rsidP="00247561">
      <w:pPr>
        <w:pStyle w:val="NoSpacing"/>
      </w:pPr>
      <w:r>
        <w:t xml:space="preserve">                     communicated when given. The Library may accept conditions on the use and/or</w:t>
      </w:r>
    </w:p>
    <w:p w14:paraId="71895989" w14:textId="42CD0D36" w:rsidR="00247561" w:rsidRDefault="00247561" w:rsidP="00247561">
      <w:pPr>
        <w:pStyle w:val="NoSpacing"/>
      </w:pPr>
      <w:r>
        <w:t xml:space="preserve">                     disposition of donations only where it deems the proposed conditions to be reasonable</w:t>
      </w:r>
    </w:p>
    <w:p w14:paraId="191C5580" w14:textId="161D70B7" w:rsidR="00247561" w:rsidRDefault="00247561" w:rsidP="00247561">
      <w:pPr>
        <w:pStyle w:val="NoSpacing"/>
      </w:pPr>
      <w:r>
        <w:t xml:space="preserve">                     and feasible.</w:t>
      </w:r>
    </w:p>
    <w:p w14:paraId="16AD15DC" w14:textId="77777777" w:rsidR="00247561" w:rsidRDefault="00247561" w:rsidP="00247561">
      <w:pPr>
        <w:pStyle w:val="NoSpacing"/>
      </w:pPr>
    </w:p>
    <w:p w14:paraId="045EE384" w14:textId="681B727F" w:rsidR="00247561" w:rsidRDefault="00247561" w:rsidP="00247561">
      <w:pPr>
        <w:pStyle w:val="NoSpacing"/>
      </w:pPr>
      <w:r>
        <w:tab/>
        <w:t xml:space="preserve">4.3 </w:t>
      </w:r>
      <w:r w:rsidR="00781E3D">
        <w:t>While honouring the wishes of donors as appropriate, the Library reserves the right to use</w:t>
      </w:r>
    </w:p>
    <w:p w14:paraId="42FFCF22" w14:textId="41F66C35" w:rsidR="00781E3D" w:rsidRDefault="00781E3D" w:rsidP="00247561">
      <w:pPr>
        <w:pStyle w:val="NoSpacing"/>
      </w:pPr>
      <w:r>
        <w:t xml:space="preserve">                     the donation in the best interest of the Library, and shall make decisions regarding the</w:t>
      </w:r>
    </w:p>
    <w:p w14:paraId="53B1F87E" w14:textId="5263D962" w:rsidR="00781E3D" w:rsidRDefault="00781E3D" w:rsidP="00247561">
      <w:pPr>
        <w:pStyle w:val="NoSpacing"/>
      </w:pPr>
      <w:r>
        <w:t xml:space="preserve">                     investment, disposition and eventual disposal of all donations.</w:t>
      </w:r>
    </w:p>
    <w:p w14:paraId="57A796E3" w14:textId="77777777" w:rsidR="00781E3D" w:rsidRDefault="00781E3D" w:rsidP="00247561">
      <w:pPr>
        <w:pStyle w:val="NoSpacing"/>
      </w:pPr>
    </w:p>
    <w:p w14:paraId="68CA3276" w14:textId="33260B73" w:rsidR="00781E3D" w:rsidRPr="00474528" w:rsidRDefault="00781E3D" w:rsidP="00247561">
      <w:pPr>
        <w:pStyle w:val="NoSpacing"/>
        <w:rPr>
          <w:b/>
          <w:bCs/>
        </w:rPr>
      </w:pPr>
      <w:r w:rsidRPr="00474528">
        <w:rPr>
          <w:b/>
          <w:bCs/>
        </w:rPr>
        <w:t>5.0 Charitable receipts</w:t>
      </w:r>
    </w:p>
    <w:p w14:paraId="5CC6CA41" w14:textId="77777777" w:rsidR="00781E3D" w:rsidRDefault="00781E3D" w:rsidP="00247561">
      <w:pPr>
        <w:pStyle w:val="NoSpacing"/>
      </w:pPr>
    </w:p>
    <w:p w14:paraId="210A2540" w14:textId="144629E3" w:rsidR="00781E3D" w:rsidRDefault="00781E3D" w:rsidP="00247561">
      <w:pPr>
        <w:pStyle w:val="NoSpacing"/>
      </w:pPr>
      <w:r>
        <w:tab/>
        <w:t>5.1 Official receipts for income tax purposes will be issued for gifts, which comply with</w:t>
      </w:r>
    </w:p>
    <w:p w14:paraId="38699E54" w14:textId="5319F858" w:rsidR="00781E3D" w:rsidRDefault="00781E3D" w:rsidP="00247561">
      <w:pPr>
        <w:pStyle w:val="NoSpacing"/>
      </w:pPr>
      <w:r>
        <w:t xml:space="preserve">                     CRA guidelines. Online donations through CanadaHelps.org will be automatically receipted.</w:t>
      </w:r>
    </w:p>
    <w:p w14:paraId="4441F612" w14:textId="40FF6358" w:rsidR="00781E3D" w:rsidRDefault="00781E3D" w:rsidP="00247561">
      <w:pPr>
        <w:pStyle w:val="NoSpacing"/>
      </w:pPr>
      <w:r>
        <w:t xml:space="preserve">                     For donations made by mail and/or in person, a tax receipt will be mailed when the </w:t>
      </w:r>
    </w:p>
    <w:p w14:paraId="447B80E3" w14:textId="6576F6F0" w:rsidR="00781E3D" w:rsidRDefault="00781E3D" w:rsidP="00247561">
      <w:pPr>
        <w:pStyle w:val="NoSpacing"/>
      </w:pPr>
      <w:r>
        <w:t xml:space="preserve">                     accumulated donation by the donor reaches $10 in any calendar year. Official receipts</w:t>
      </w:r>
    </w:p>
    <w:p w14:paraId="47DF9726" w14:textId="01D63B21" w:rsidR="00781E3D" w:rsidRDefault="00781E3D" w:rsidP="00247561">
      <w:pPr>
        <w:pStyle w:val="NoSpacing"/>
      </w:pPr>
      <w:r>
        <w:t xml:space="preserve">                     for income tax purposes are not routinely issued to charitable organizations and foundations,</w:t>
      </w:r>
    </w:p>
    <w:p w14:paraId="2C4507E0" w14:textId="47C350F4" w:rsidR="00781E3D" w:rsidRDefault="00781E3D" w:rsidP="00247561">
      <w:pPr>
        <w:pStyle w:val="NoSpacing"/>
      </w:pPr>
      <w:r>
        <w:t xml:space="preserve">                     but may be issued if requested by the donor. Official tax receipts for income tax purposes</w:t>
      </w:r>
    </w:p>
    <w:p w14:paraId="0C60D08C" w14:textId="094A17C4" w:rsidR="00781E3D" w:rsidRDefault="00781E3D" w:rsidP="00247561">
      <w:pPr>
        <w:pStyle w:val="NoSpacing"/>
      </w:pPr>
      <w:r>
        <w:t xml:space="preserve">                     are not issued for sponsorships, purchases, or other transactions listed in the </w:t>
      </w:r>
      <w:r w:rsidRPr="00AF014A">
        <w:rPr>
          <w:i/>
        </w:rPr>
        <w:t xml:space="preserve">Canada </w:t>
      </w:r>
    </w:p>
    <w:p w14:paraId="0292A2F8" w14:textId="3D3C43F0" w:rsidR="00442A18" w:rsidRPr="00F50B36" w:rsidRDefault="00781E3D" w:rsidP="00247561">
      <w:pPr>
        <w:pStyle w:val="NoSpacing"/>
      </w:pPr>
      <w:r>
        <w:t xml:space="preserve">                     </w:t>
      </w:r>
      <w:r w:rsidRPr="00AF014A">
        <w:rPr>
          <w:i/>
        </w:rPr>
        <w:t>Revenue Agency’s Bulletin</w:t>
      </w:r>
      <w:r w:rsidR="00AF014A" w:rsidRPr="00AF014A">
        <w:rPr>
          <w:i/>
        </w:rPr>
        <w:t xml:space="preserve"> IT110R3</w:t>
      </w:r>
      <w:r w:rsidR="00F50B36">
        <w:rPr>
          <w:i/>
        </w:rPr>
        <w:t xml:space="preserve">. </w:t>
      </w:r>
      <w:r w:rsidR="00F50B36" w:rsidRPr="00F50B36">
        <w:t xml:space="preserve">These transactions may be acknowledged through issue </w:t>
      </w:r>
    </w:p>
    <w:p w14:paraId="5FDAD707" w14:textId="51D45723" w:rsidR="00781E3D" w:rsidRDefault="00F50B36" w:rsidP="00F50B36">
      <w:pPr>
        <w:pStyle w:val="NoSpacing"/>
      </w:pPr>
      <w:r w:rsidRPr="00F50B36">
        <w:t xml:space="preserve">                    </w:t>
      </w:r>
      <w:r>
        <w:t xml:space="preserve"> </w:t>
      </w:r>
      <w:r w:rsidRPr="00F50B36">
        <w:t>of a receipt.</w:t>
      </w:r>
      <w:r>
        <w:t xml:space="preserve"> (</w:t>
      </w:r>
      <w:hyperlink r:id="rId6" w:history="1">
        <w:r w:rsidRPr="00AC2DFA">
          <w:rPr>
            <w:rStyle w:val="Hyperlink"/>
          </w:rPr>
          <w:t>http://cra2011.cutetax.ca/E/pub/tp/it110r3/README.html</w:t>
        </w:r>
      </w:hyperlink>
      <w:r>
        <w:t>)</w:t>
      </w:r>
    </w:p>
    <w:p w14:paraId="12AB3D14" w14:textId="5DEC35D4" w:rsidR="00781E3D" w:rsidRDefault="00781E3D" w:rsidP="00247561">
      <w:pPr>
        <w:pStyle w:val="NoSpacing"/>
      </w:pPr>
      <w:r>
        <w:t xml:space="preserve">                     </w:t>
      </w:r>
    </w:p>
    <w:p w14:paraId="5CB36EF6" w14:textId="0ED3172E" w:rsidR="00781E3D" w:rsidRDefault="00781E3D" w:rsidP="00247561">
      <w:pPr>
        <w:pStyle w:val="NoSpacing"/>
      </w:pPr>
      <w:r>
        <w:tab/>
        <w:t>5.2 Donors are encouraged to discuss the proposed gift with independent legal and/or tax</w:t>
      </w:r>
    </w:p>
    <w:p w14:paraId="7D2159A0" w14:textId="47E6354A" w:rsidR="00781E3D" w:rsidRDefault="00781E3D" w:rsidP="00247561">
      <w:pPr>
        <w:pStyle w:val="NoSpacing"/>
      </w:pPr>
      <w:r>
        <w:t xml:space="preserve">                     </w:t>
      </w:r>
      <w:r w:rsidR="00AF014A">
        <w:t>a</w:t>
      </w:r>
      <w:r>
        <w:t>d</w:t>
      </w:r>
      <w:r w:rsidR="007D07B5">
        <w:t xml:space="preserve">visors of the donor’s choice so as to ensure that the donor receives a full and accurate </w:t>
      </w:r>
    </w:p>
    <w:p w14:paraId="16E2FF81" w14:textId="73DFBD70" w:rsidR="007D07B5" w:rsidRDefault="007D07B5" w:rsidP="00247561">
      <w:pPr>
        <w:pStyle w:val="NoSpacing"/>
      </w:pPr>
      <w:r>
        <w:t xml:space="preserve">                     </w:t>
      </w:r>
      <w:r w:rsidR="00AF014A">
        <w:t>e</w:t>
      </w:r>
      <w:r>
        <w:t>xplanation of all aspects of the proposed charitable gift.</w:t>
      </w:r>
    </w:p>
    <w:p w14:paraId="003359DC" w14:textId="77777777" w:rsidR="00E34463" w:rsidRDefault="00E34463" w:rsidP="00E34463">
      <w:pPr>
        <w:pStyle w:val="NoSpacing"/>
      </w:pPr>
    </w:p>
    <w:p w14:paraId="76CCEEC0" w14:textId="718FFAF4" w:rsidR="007D07B5" w:rsidRPr="00474528" w:rsidRDefault="007D07B5" w:rsidP="00E34463">
      <w:pPr>
        <w:pStyle w:val="NoSpacing"/>
        <w:rPr>
          <w:b/>
          <w:bCs/>
        </w:rPr>
      </w:pPr>
      <w:r w:rsidRPr="00474528">
        <w:rPr>
          <w:b/>
          <w:bCs/>
        </w:rPr>
        <w:t>6.0 Financial management</w:t>
      </w:r>
    </w:p>
    <w:p w14:paraId="6DB5BD92" w14:textId="77777777" w:rsidR="007D07B5" w:rsidRDefault="007D07B5" w:rsidP="00E34463">
      <w:pPr>
        <w:pStyle w:val="NoSpacing"/>
      </w:pPr>
    </w:p>
    <w:p w14:paraId="3B562DC5" w14:textId="641A41D9" w:rsidR="007D07B5" w:rsidRDefault="007D07B5" w:rsidP="007D07B5">
      <w:pPr>
        <w:pStyle w:val="NoSpacing"/>
      </w:pPr>
      <w:r>
        <w:tab/>
        <w:t>6.1 Pledges of $10,000 and over will be accompanied by an agreement signed by the donor</w:t>
      </w:r>
    </w:p>
    <w:p w14:paraId="34F29053" w14:textId="6ED11C7E" w:rsidR="007D07B5" w:rsidRDefault="007D07B5" w:rsidP="007D07B5">
      <w:pPr>
        <w:pStyle w:val="NoSpacing"/>
      </w:pPr>
      <w:r>
        <w:t xml:space="preserve">                     and the Chief Librarian, or designate. Pledges may be announced publicly at the shared</w:t>
      </w:r>
    </w:p>
    <w:p w14:paraId="79A05AA2" w14:textId="5675EF87" w:rsidR="007D07B5" w:rsidRDefault="007D07B5" w:rsidP="007D07B5">
      <w:pPr>
        <w:pStyle w:val="NoSpacing"/>
      </w:pPr>
      <w:r>
        <w:t xml:space="preserve">                     discretion of the donor and the Library. Expenditures for donor recognition must be guided</w:t>
      </w:r>
    </w:p>
    <w:p w14:paraId="28192E07" w14:textId="525C79BE" w:rsidR="007D07B5" w:rsidRDefault="007D07B5" w:rsidP="007D07B5">
      <w:pPr>
        <w:pStyle w:val="NoSpacing"/>
      </w:pPr>
      <w:r>
        <w:t xml:space="preserve">                     by the CRA guidelines.</w:t>
      </w:r>
    </w:p>
    <w:p w14:paraId="1EB59FDC" w14:textId="77777777" w:rsidR="00091088" w:rsidRDefault="00091088" w:rsidP="007D07B5">
      <w:pPr>
        <w:pStyle w:val="NoSpacing"/>
      </w:pPr>
    </w:p>
    <w:p w14:paraId="19D22589" w14:textId="5FD67EA7" w:rsidR="00091088" w:rsidRDefault="00091088" w:rsidP="007D07B5">
      <w:pPr>
        <w:pStyle w:val="NoSpacing"/>
      </w:pPr>
      <w:r>
        <w:tab/>
        <w:t>6.2 Should the intended purpose of a gift be changed, the Library will attempt to contact the</w:t>
      </w:r>
    </w:p>
    <w:p w14:paraId="356625D2" w14:textId="047B02EF" w:rsidR="00091088" w:rsidRDefault="00091088" w:rsidP="007D07B5">
      <w:pPr>
        <w:pStyle w:val="NoSpacing"/>
      </w:pPr>
      <w:r>
        <w:t xml:space="preserve">                     donor to discuss the change. If obtaining donor permission is not feasible, the Library will</w:t>
      </w:r>
    </w:p>
    <w:p w14:paraId="04EB644B" w14:textId="4C214051" w:rsidR="00091088" w:rsidRDefault="00091088" w:rsidP="007D07B5">
      <w:pPr>
        <w:pStyle w:val="NoSpacing"/>
      </w:pPr>
      <w:r>
        <w:t xml:space="preserve">                     choose a designation that aligns most similarly with the donor’s original intent and carry </w:t>
      </w:r>
    </w:p>
    <w:p w14:paraId="2239410E" w14:textId="244635D5" w:rsidR="00091088" w:rsidRDefault="00091088" w:rsidP="007D07B5">
      <w:pPr>
        <w:pStyle w:val="NoSpacing"/>
      </w:pPr>
      <w:r>
        <w:t xml:space="preserve">                     out all recognition plans as originally discussed with the donor.</w:t>
      </w:r>
    </w:p>
    <w:p w14:paraId="45932149" w14:textId="77777777" w:rsidR="00091088" w:rsidRDefault="00091088" w:rsidP="007D07B5">
      <w:pPr>
        <w:pStyle w:val="NoSpacing"/>
      </w:pPr>
    </w:p>
    <w:p w14:paraId="5F9385EF" w14:textId="77777777" w:rsidR="00091088" w:rsidRPr="00091088" w:rsidRDefault="00091088" w:rsidP="00091088">
      <w:pPr>
        <w:tabs>
          <w:tab w:val="left" w:pos="360"/>
        </w:tabs>
        <w:ind w:left="360" w:hanging="360"/>
        <w:rPr>
          <w:rFonts w:cstheme="minorHAnsi"/>
          <w:b/>
        </w:rPr>
      </w:pPr>
      <w:r w:rsidRPr="00091088">
        <w:rPr>
          <w:rFonts w:cstheme="minorHAnsi"/>
          <w:b/>
        </w:rPr>
        <w:t>Related Documents:</w:t>
      </w:r>
    </w:p>
    <w:p w14:paraId="5DCA77EC" w14:textId="348BFFA0" w:rsidR="00091088" w:rsidRDefault="00091088" w:rsidP="00091088">
      <w:pPr>
        <w:tabs>
          <w:tab w:val="left" w:pos="360"/>
          <w:tab w:val="left" w:pos="1080"/>
        </w:tabs>
        <w:ind w:left="360"/>
        <w:rPr>
          <w:rFonts w:cstheme="minorHAnsi"/>
        </w:rPr>
      </w:pPr>
      <w:r>
        <w:rPr>
          <w:rFonts w:cstheme="minorHAnsi"/>
        </w:rPr>
        <w:t xml:space="preserve">Leeds and the Thousand Islands Public Library </w:t>
      </w:r>
      <w:r w:rsidRPr="00091088">
        <w:rPr>
          <w:rFonts w:cstheme="minorHAnsi"/>
          <w:b/>
          <w:i/>
        </w:rPr>
        <w:t>OP</w:t>
      </w:r>
      <w:r>
        <w:rPr>
          <w:rFonts w:cstheme="minorHAnsi"/>
          <w:b/>
          <w:i/>
        </w:rPr>
        <w:t>-02</w:t>
      </w:r>
      <w:r w:rsidRPr="00091088">
        <w:rPr>
          <w:rFonts w:cstheme="minorHAnsi"/>
          <w:b/>
          <w:i/>
        </w:rPr>
        <w:t xml:space="preserve"> Collection Development Policy</w:t>
      </w:r>
      <w:r w:rsidRPr="00091088">
        <w:rPr>
          <w:rFonts w:cstheme="minorHAnsi"/>
        </w:rPr>
        <w:t xml:space="preserve"> </w:t>
      </w:r>
    </w:p>
    <w:p w14:paraId="79DA6F65" w14:textId="77777777" w:rsidR="00F50B36" w:rsidRDefault="00F50B36" w:rsidP="00091088">
      <w:pPr>
        <w:tabs>
          <w:tab w:val="left" w:pos="360"/>
          <w:tab w:val="left" w:pos="1080"/>
        </w:tabs>
        <w:ind w:left="360"/>
        <w:rPr>
          <w:rFonts w:cstheme="minorHAnsi"/>
        </w:rPr>
      </w:pPr>
    </w:p>
    <w:p w14:paraId="097BB451" w14:textId="02372D2A" w:rsidR="00091088" w:rsidRPr="00474528" w:rsidRDefault="00091088" w:rsidP="00091088">
      <w:pPr>
        <w:tabs>
          <w:tab w:val="left" w:pos="360"/>
          <w:tab w:val="left" w:pos="1080"/>
        </w:tabs>
        <w:rPr>
          <w:b/>
          <w:bCs/>
        </w:rPr>
      </w:pPr>
      <w:r w:rsidRPr="00474528">
        <w:rPr>
          <w:b/>
          <w:bCs/>
        </w:rPr>
        <w:lastRenderedPageBreak/>
        <w:t>Appendix A: Donor Bill of Rights</w:t>
      </w:r>
      <w:r w:rsidR="00474528">
        <w:rPr>
          <w:b/>
          <w:bCs/>
        </w:rPr>
        <w:t xml:space="preserve"> </w:t>
      </w:r>
    </w:p>
    <w:p w14:paraId="5A02E972" w14:textId="0ECF08CB" w:rsidR="00091088" w:rsidRDefault="00091088" w:rsidP="00091088">
      <w:pPr>
        <w:pStyle w:val="NoSpacing"/>
      </w:pPr>
      <w:r>
        <w:t>To ensure that philanthropy merits the respect and trust of the general public, and that donors can have</w:t>
      </w:r>
    </w:p>
    <w:p w14:paraId="53D45019" w14:textId="314DD28A" w:rsidR="00091088" w:rsidRDefault="00091088" w:rsidP="00091088">
      <w:pPr>
        <w:pStyle w:val="NoSpacing"/>
      </w:pPr>
      <w:r>
        <w:t>full confidence in the Library, we declare that all donors have these rights.</w:t>
      </w:r>
    </w:p>
    <w:p w14:paraId="44861D8F" w14:textId="77777777" w:rsidR="00091088" w:rsidRPr="00DE54BD" w:rsidRDefault="00091088" w:rsidP="00091088">
      <w:pPr>
        <w:pStyle w:val="NoSpacing"/>
        <w:rPr>
          <w:rFonts w:cstheme="minorHAnsi"/>
        </w:rPr>
      </w:pPr>
    </w:p>
    <w:p w14:paraId="2C11552E" w14:textId="77777777" w:rsidR="00091088" w:rsidRPr="00DE54BD" w:rsidRDefault="00091088" w:rsidP="00091088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pacing w:val="5"/>
        </w:rPr>
      </w:pPr>
      <w:r w:rsidRPr="00DE54BD">
        <w:rPr>
          <w:rFonts w:asciiTheme="minorHAnsi" w:hAnsiTheme="minorHAnsi" w:cstheme="minorHAnsi"/>
          <w:color w:val="000000" w:themeColor="text1"/>
          <w:spacing w:val="5"/>
        </w:rPr>
        <w:t>To be informed of the library's mission, of the way the library intends to use donated resources, and of its capacity to use donations effectively for their intended purposes.</w:t>
      </w:r>
    </w:p>
    <w:p w14:paraId="7EEAC31A" w14:textId="77777777" w:rsidR="00091088" w:rsidRPr="00DE54BD" w:rsidRDefault="00091088" w:rsidP="00091088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pacing w:val="5"/>
        </w:rPr>
      </w:pPr>
      <w:r w:rsidRPr="00DE54BD">
        <w:rPr>
          <w:rFonts w:asciiTheme="minorHAnsi" w:hAnsiTheme="minorHAnsi" w:cstheme="minorHAnsi"/>
          <w:color w:val="000000" w:themeColor="text1"/>
          <w:spacing w:val="5"/>
        </w:rPr>
        <w:t>To be informed of the identity of those serving on the library's governing board, and to expect the board to exercise prudent judgment in its stewardship responsibilities.</w:t>
      </w:r>
    </w:p>
    <w:p w14:paraId="0F4BC964" w14:textId="77777777" w:rsidR="00091088" w:rsidRPr="00DE54BD" w:rsidRDefault="00091088" w:rsidP="00091088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pacing w:val="5"/>
        </w:rPr>
      </w:pPr>
      <w:r w:rsidRPr="00DE54BD">
        <w:rPr>
          <w:rFonts w:asciiTheme="minorHAnsi" w:hAnsiTheme="minorHAnsi" w:cstheme="minorHAnsi"/>
          <w:color w:val="000000" w:themeColor="text1"/>
          <w:spacing w:val="5"/>
        </w:rPr>
        <w:t>To have access to the library's most recent financial statements.</w:t>
      </w:r>
    </w:p>
    <w:p w14:paraId="6979A810" w14:textId="77777777" w:rsidR="00091088" w:rsidRPr="00DE54BD" w:rsidRDefault="00091088" w:rsidP="00091088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pacing w:val="5"/>
        </w:rPr>
      </w:pPr>
      <w:r w:rsidRPr="00DE54BD">
        <w:rPr>
          <w:rFonts w:asciiTheme="minorHAnsi" w:hAnsiTheme="minorHAnsi" w:cstheme="minorHAnsi"/>
          <w:color w:val="000000" w:themeColor="text1"/>
          <w:spacing w:val="5"/>
        </w:rPr>
        <w:t>To be assured their gifts will be used for the purposes for which they were given.</w:t>
      </w:r>
    </w:p>
    <w:p w14:paraId="7B316A7D" w14:textId="77777777" w:rsidR="00091088" w:rsidRPr="00DE54BD" w:rsidRDefault="00091088" w:rsidP="00091088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pacing w:val="5"/>
        </w:rPr>
      </w:pPr>
      <w:r w:rsidRPr="00DE54BD">
        <w:rPr>
          <w:rFonts w:asciiTheme="minorHAnsi" w:hAnsiTheme="minorHAnsi" w:cstheme="minorHAnsi"/>
          <w:color w:val="000000" w:themeColor="text1"/>
          <w:spacing w:val="5"/>
        </w:rPr>
        <w:t>To receive appropriate acknowledgement and recognition.</w:t>
      </w:r>
    </w:p>
    <w:p w14:paraId="31CF4734" w14:textId="77777777" w:rsidR="00091088" w:rsidRPr="00DE54BD" w:rsidRDefault="00091088" w:rsidP="00091088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pacing w:val="5"/>
        </w:rPr>
      </w:pPr>
      <w:r w:rsidRPr="00DE54BD">
        <w:rPr>
          <w:rFonts w:asciiTheme="minorHAnsi" w:hAnsiTheme="minorHAnsi" w:cstheme="minorHAnsi"/>
          <w:color w:val="000000" w:themeColor="text1"/>
          <w:spacing w:val="5"/>
        </w:rPr>
        <w:t>To be assured that information about their donation is handled with respect and with confidentiality to the extent provided by law.</w:t>
      </w:r>
    </w:p>
    <w:p w14:paraId="77EB713A" w14:textId="77777777" w:rsidR="00091088" w:rsidRPr="00DE54BD" w:rsidRDefault="00091088" w:rsidP="00091088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 w:themeColor="text1"/>
          <w:spacing w:val="5"/>
        </w:rPr>
      </w:pPr>
      <w:r w:rsidRPr="00DE54BD">
        <w:rPr>
          <w:rFonts w:asciiTheme="minorHAnsi" w:hAnsiTheme="minorHAnsi" w:cstheme="minorHAnsi"/>
          <w:color w:val="000000" w:themeColor="text1"/>
          <w:spacing w:val="5"/>
        </w:rPr>
        <w:t>To have the opportunity for their names to be deleted from mailing lists that an organization may intend to share.</w:t>
      </w:r>
    </w:p>
    <w:p w14:paraId="1E63A805" w14:textId="77777777" w:rsidR="00091088" w:rsidRPr="00322A0B" w:rsidRDefault="00091088" w:rsidP="00091088">
      <w:pPr>
        <w:pStyle w:val="ListParagraph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000000" w:themeColor="text1"/>
          <w:spacing w:val="5"/>
          <w:sz w:val="20"/>
          <w:szCs w:val="20"/>
        </w:rPr>
      </w:pPr>
      <w:r w:rsidRPr="00DE54BD">
        <w:rPr>
          <w:rFonts w:asciiTheme="minorHAnsi" w:hAnsiTheme="minorHAnsi" w:cstheme="minorHAnsi"/>
          <w:color w:val="000000" w:themeColor="text1"/>
          <w:spacing w:val="5"/>
        </w:rPr>
        <w:t>To feel free to ask questions when making a donation and to receive prompt, truthful and forthright answers</w:t>
      </w:r>
      <w:r w:rsidRPr="00322A0B">
        <w:rPr>
          <w:rFonts w:ascii="Arial Narrow" w:hAnsi="Arial Narrow" w:cs="Arial"/>
          <w:color w:val="000000" w:themeColor="text1"/>
          <w:spacing w:val="5"/>
          <w:sz w:val="20"/>
          <w:szCs w:val="20"/>
        </w:rPr>
        <w:t>.</w:t>
      </w:r>
    </w:p>
    <w:p w14:paraId="1910098D" w14:textId="77777777" w:rsidR="00091088" w:rsidRDefault="00091088" w:rsidP="00091088">
      <w:pPr>
        <w:tabs>
          <w:tab w:val="left" w:pos="360"/>
        </w:tabs>
        <w:rPr>
          <w:rFonts w:ascii="Arial Narrow" w:hAnsi="Arial Narrow"/>
          <w:color w:val="000000" w:themeColor="text1"/>
          <w:sz w:val="20"/>
          <w:szCs w:val="20"/>
        </w:rPr>
      </w:pPr>
    </w:p>
    <w:p w14:paraId="38A1C38B" w14:textId="77777777" w:rsidR="00F50B36" w:rsidRPr="00322A0B" w:rsidRDefault="00F50B36" w:rsidP="00F50B36">
      <w:pPr>
        <w:tabs>
          <w:tab w:val="left" w:pos="360"/>
        </w:tabs>
        <w:ind w:left="360" w:hanging="360"/>
        <w:rPr>
          <w:rFonts w:ascii="Arial Narrow" w:hAnsi="Arial Narrow"/>
          <w:color w:val="000000" w:themeColor="text1"/>
          <w:sz w:val="20"/>
          <w:szCs w:val="20"/>
        </w:rPr>
      </w:pPr>
      <w:r w:rsidRPr="00F50B36">
        <w:rPr>
          <w:rFonts w:ascii="Arial Narrow" w:hAnsi="Arial Narrow" w:cs="Arial"/>
          <w:i/>
          <w:color w:val="000000"/>
          <w:sz w:val="20"/>
          <w:lang w:val="en-CA" w:eastAsia="fr-CA"/>
        </w:rPr>
        <w:t>The donor bill of rights</w:t>
      </w:r>
      <w:r>
        <w:rPr>
          <w:rFonts w:ascii="Arial Narrow" w:hAnsi="Arial Narrow" w:cs="Arial"/>
          <w:color w:val="000000"/>
          <w:sz w:val="20"/>
          <w:lang w:val="en-CA" w:eastAsia="fr-CA"/>
        </w:rPr>
        <w:t xml:space="preserve">, Association of Fundraising Professionals.(2019.January 23). </w:t>
      </w:r>
      <w:hyperlink r:id="rId7" w:history="1">
        <w:r w:rsidRPr="00322A0B">
          <w:rPr>
            <w:rStyle w:val="Hyperlink"/>
            <w:rFonts w:ascii="Arial Narrow" w:hAnsi="Arial Narrow"/>
            <w:color w:val="000000" w:themeColor="text1"/>
            <w:sz w:val="20"/>
            <w:szCs w:val="20"/>
          </w:rPr>
          <w:t>https://afpglobal.org/donor-bill-rights</w:t>
        </w:r>
      </w:hyperlink>
      <w:r w:rsidRPr="00322A0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17A073B" w14:textId="0587750A" w:rsidR="00091088" w:rsidRPr="00DE54BD" w:rsidRDefault="00091088" w:rsidP="00091088">
      <w:pPr>
        <w:rPr>
          <w:rFonts w:cstheme="minorHAnsi"/>
          <w:color w:val="000000"/>
          <w:sz w:val="20"/>
          <w:szCs w:val="20"/>
          <w:lang w:val="en-CA"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3118"/>
      </w:tblGrid>
      <w:tr w:rsidR="00D96347" w:rsidRPr="00DE54BD" w14:paraId="31EE92F7" w14:textId="77777777" w:rsidTr="007A3B8B">
        <w:tc>
          <w:tcPr>
            <w:tcW w:w="9350" w:type="dxa"/>
            <w:gridSpan w:val="4"/>
          </w:tcPr>
          <w:p w14:paraId="49DCAD3B" w14:textId="64124BFB" w:rsidR="00D96347" w:rsidRPr="00DE54BD" w:rsidRDefault="00D96347" w:rsidP="00D96347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 w:rsidRPr="00DE54BD"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History</w:t>
            </w:r>
          </w:p>
        </w:tc>
      </w:tr>
      <w:tr w:rsidR="00D96347" w:rsidRPr="00DE54BD" w14:paraId="403C7B00" w14:textId="77777777" w:rsidTr="00D96347">
        <w:tc>
          <w:tcPr>
            <w:tcW w:w="1696" w:type="dxa"/>
          </w:tcPr>
          <w:p w14:paraId="2888E21A" w14:textId="0AAA0A24" w:rsidR="00D96347" w:rsidRPr="00DE54BD" w:rsidRDefault="00D96347" w:rsidP="00091088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 w:rsidRPr="00DE54BD"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Approval Date</w:t>
            </w:r>
          </w:p>
        </w:tc>
        <w:tc>
          <w:tcPr>
            <w:tcW w:w="3261" w:type="dxa"/>
          </w:tcPr>
          <w:p w14:paraId="2656C727" w14:textId="4B8522EF" w:rsidR="00D96347" w:rsidRPr="00DE54BD" w:rsidRDefault="00E36CB2" w:rsidP="00091088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June 19, 2023</w:t>
            </w:r>
          </w:p>
        </w:tc>
        <w:tc>
          <w:tcPr>
            <w:tcW w:w="1275" w:type="dxa"/>
          </w:tcPr>
          <w:p w14:paraId="6A22F67C" w14:textId="22394225" w:rsidR="00D96347" w:rsidRPr="00DE54BD" w:rsidRDefault="00D96347" w:rsidP="00091088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 w:rsidRPr="00DE54BD"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Approved by</w:t>
            </w:r>
          </w:p>
        </w:tc>
        <w:tc>
          <w:tcPr>
            <w:tcW w:w="3118" w:type="dxa"/>
          </w:tcPr>
          <w:p w14:paraId="54A7B0F5" w14:textId="180E7868" w:rsidR="00D96347" w:rsidRPr="00DE54BD" w:rsidRDefault="00E36CB2" w:rsidP="00091088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B. Lolley</w:t>
            </w:r>
            <w:bookmarkStart w:id="0" w:name="_GoBack"/>
            <w:bookmarkEnd w:id="0"/>
          </w:p>
        </w:tc>
      </w:tr>
      <w:tr w:rsidR="00D96347" w:rsidRPr="00DE54BD" w14:paraId="2D9CE17F" w14:textId="77777777" w:rsidTr="00D96347">
        <w:tc>
          <w:tcPr>
            <w:tcW w:w="1696" w:type="dxa"/>
          </w:tcPr>
          <w:p w14:paraId="6B477A3A" w14:textId="3144A7F2" w:rsidR="00D96347" w:rsidRPr="00DE54BD" w:rsidRDefault="00D96347" w:rsidP="00091088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 w:rsidRPr="00DE54BD"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Amendment Date</w:t>
            </w:r>
          </w:p>
        </w:tc>
        <w:tc>
          <w:tcPr>
            <w:tcW w:w="3261" w:type="dxa"/>
          </w:tcPr>
          <w:p w14:paraId="3028EAFF" w14:textId="77777777" w:rsidR="00D96347" w:rsidRPr="00DE54BD" w:rsidRDefault="00D96347" w:rsidP="00091088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1275" w:type="dxa"/>
          </w:tcPr>
          <w:p w14:paraId="2CCC1014" w14:textId="0979B820" w:rsidR="00D96347" w:rsidRPr="00DE54BD" w:rsidRDefault="00D96347" w:rsidP="00091088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 w:rsidRPr="00DE54BD"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Approved by</w:t>
            </w:r>
          </w:p>
        </w:tc>
        <w:tc>
          <w:tcPr>
            <w:tcW w:w="3118" w:type="dxa"/>
          </w:tcPr>
          <w:p w14:paraId="0DEBE42A" w14:textId="77777777" w:rsidR="00D96347" w:rsidRPr="00DE54BD" w:rsidRDefault="00D96347" w:rsidP="00091088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</w:p>
        </w:tc>
      </w:tr>
      <w:tr w:rsidR="00D96347" w:rsidRPr="00DE54BD" w14:paraId="1498DB71" w14:textId="77777777" w:rsidTr="00D96347">
        <w:trPr>
          <w:trHeight w:val="96"/>
        </w:trPr>
        <w:tc>
          <w:tcPr>
            <w:tcW w:w="1696" w:type="dxa"/>
          </w:tcPr>
          <w:p w14:paraId="76838E7D" w14:textId="08BB4533" w:rsidR="00D96347" w:rsidRPr="00DE54BD" w:rsidRDefault="00D96347" w:rsidP="00D96347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 w:rsidRPr="00DE54BD"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Amendment Date</w:t>
            </w:r>
          </w:p>
        </w:tc>
        <w:tc>
          <w:tcPr>
            <w:tcW w:w="3261" w:type="dxa"/>
          </w:tcPr>
          <w:p w14:paraId="2FFE4AF2" w14:textId="77777777" w:rsidR="00D96347" w:rsidRPr="00DE54BD" w:rsidRDefault="00D96347" w:rsidP="00D96347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1275" w:type="dxa"/>
          </w:tcPr>
          <w:p w14:paraId="498DF15E" w14:textId="1D9946D8" w:rsidR="00D96347" w:rsidRPr="00DE54BD" w:rsidRDefault="00D96347" w:rsidP="00D96347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 w:rsidRPr="00DE54BD"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Approved by</w:t>
            </w:r>
          </w:p>
        </w:tc>
        <w:tc>
          <w:tcPr>
            <w:tcW w:w="3118" w:type="dxa"/>
          </w:tcPr>
          <w:p w14:paraId="4D536D67" w14:textId="77777777" w:rsidR="00D96347" w:rsidRPr="00DE54BD" w:rsidRDefault="00D96347" w:rsidP="00D96347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</w:p>
        </w:tc>
      </w:tr>
      <w:tr w:rsidR="00D96347" w:rsidRPr="00DE54BD" w14:paraId="67E5214E" w14:textId="77777777" w:rsidTr="00D96347">
        <w:trPr>
          <w:trHeight w:val="136"/>
        </w:trPr>
        <w:tc>
          <w:tcPr>
            <w:tcW w:w="1696" w:type="dxa"/>
          </w:tcPr>
          <w:p w14:paraId="5D95186B" w14:textId="4AE0472C" w:rsidR="00D96347" w:rsidRPr="00DE54BD" w:rsidRDefault="00D96347" w:rsidP="00D96347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 w:rsidRPr="00DE54BD"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Amendment Date</w:t>
            </w:r>
          </w:p>
        </w:tc>
        <w:tc>
          <w:tcPr>
            <w:tcW w:w="3261" w:type="dxa"/>
          </w:tcPr>
          <w:p w14:paraId="3BD6AB92" w14:textId="77777777" w:rsidR="00D96347" w:rsidRPr="00DE54BD" w:rsidRDefault="00D96347" w:rsidP="00D96347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</w:p>
        </w:tc>
        <w:tc>
          <w:tcPr>
            <w:tcW w:w="1275" w:type="dxa"/>
          </w:tcPr>
          <w:p w14:paraId="3580CCB1" w14:textId="1C3F8E2F" w:rsidR="00D96347" w:rsidRPr="00DE54BD" w:rsidRDefault="00D96347" w:rsidP="00D96347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  <w:r w:rsidRPr="00DE54BD"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  <w:t>Approved by</w:t>
            </w:r>
          </w:p>
        </w:tc>
        <w:tc>
          <w:tcPr>
            <w:tcW w:w="3118" w:type="dxa"/>
          </w:tcPr>
          <w:p w14:paraId="1C50EEC8" w14:textId="77777777" w:rsidR="00D96347" w:rsidRPr="00DE54BD" w:rsidRDefault="00D96347" w:rsidP="00D96347">
            <w:pPr>
              <w:rPr>
                <w:rFonts w:cstheme="minorHAnsi"/>
                <w:color w:val="000000"/>
                <w:sz w:val="20"/>
                <w:szCs w:val="20"/>
                <w:lang w:val="en-CA" w:eastAsia="fr-CA"/>
              </w:rPr>
            </w:pPr>
          </w:p>
        </w:tc>
      </w:tr>
    </w:tbl>
    <w:p w14:paraId="1BDE0421" w14:textId="77777777" w:rsidR="00D96347" w:rsidRPr="00DE54BD" w:rsidRDefault="00D96347" w:rsidP="00091088">
      <w:pPr>
        <w:rPr>
          <w:rFonts w:cstheme="minorHAnsi"/>
          <w:color w:val="000000"/>
          <w:sz w:val="20"/>
          <w:szCs w:val="20"/>
          <w:lang w:val="en-CA" w:eastAsia="fr-CA"/>
        </w:rPr>
      </w:pPr>
    </w:p>
    <w:p w14:paraId="63155366" w14:textId="51743C1F" w:rsidR="00091088" w:rsidRPr="00322A0B" w:rsidRDefault="00091088" w:rsidP="00091088">
      <w:pPr>
        <w:tabs>
          <w:tab w:val="left" w:pos="360"/>
        </w:tabs>
        <w:rPr>
          <w:rFonts w:ascii="Arial Narrow" w:hAnsi="Arial Narrow"/>
          <w:color w:val="000000" w:themeColor="text1"/>
          <w:sz w:val="20"/>
          <w:szCs w:val="20"/>
        </w:rPr>
      </w:pPr>
    </w:p>
    <w:p w14:paraId="442D6744" w14:textId="77777777" w:rsidR="00091088" w:rsidRDefault="00091088" w:rsidP="00091088">
      <w:pPr>
        <w:rPr>
          <w:rFonts w:ascii="Arial Narrow" w:hAnsi="Arial Narrow" w:cs="Arial"/>
          <w:color w:val="000000"/>
          <w:sz w:val="20"/>
          <w:lang w:val="en-CA" w:eastAsia="fr-CA"/>
        </w:rPr>
      </w:pPr>
      <w:r>
        <w:rPr>
          <w:rFonts w:ascii="Arial Narrow" w:hAnsi="Arial Narrow" w:cs="Arial"/>
          <w:color w:val="000000"/>
          <w:sz w:val="20"/>
          <w:lang w:val="en-CA" w:eastAsia="fr-CA"/>
        </w:rPr>
        <w:br w:type="page"/>
      </w:r>
    </w:p>
    <w:p w14:paraId="7E4C64AB" w14:textId="406A9312" w:rsidR="00091088" w:rsidRDefault="00091088" w:rsidP="00091088">
      <w:pPr>
        <w:pStyle w:val="NoSpacing"/>
        <w:ind w:left="1440"/>
      </w:pPr>
    </w:p>
    <w:p w14:paraId="51626C24" w14:textId="77777777" w:rsidR="00091088" w:rsidRPr="00091088" w:rsidRDefault="00091088" w:rsidP="00091088">
      <w:pPr>
        <w:tabs>
          <w:tab w:val="left" w:pos="360"/>
          <w:tab w:val="left" w:pos="1080"/>
        </w:tabs>
        <w:ind w:left="360"/>
        <w:rPr>
          <w:rFonts w:cstheme="minorHAnsi"/>
        </w:rPr>
      </w:pPr>
    </w:p>
    <w:p w14:paraId="4A68F4D0" w14:textId="44D298CD" w:rsidR="00E34463" w:rsidRDefault="00E34463" w:rsidP="00E34463">
      <w:pPr>
        <w:pStyle w:val="NoSpacing"/>
        <w:ind w:left="720"/>
      </w:pPr>
    </w:p>
    <w:sectPr w:rsidR="00E3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6ED"/>
    <w:multiLevelType w:val="hybridMultilevel"/>
    <w:tmpl w:val="DB0E6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065A5"/>
    <w:multiLevelType w:val="hybridMultilevel"/>
    <w:tmpl w:val="6C4AED56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C932091"/>
    <w:multiLevelType w:val="hybridMultilevel"/>
    <w:tmpl w:val="3C281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B2580A"/>
    <w:multiLevelType w:val="multilevel"/>
    <w:tmpl w:val="A1E2FF04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63"/>
    <w:rsid w:val="00091088"/>
    <w:rsid w:val="00247561"/>
    <w:rsid w:val="002C3644"/>
    <w:rsid w:val="00442A18"/>
    <w:rsid w:val="00474528"/>
    <w:rsid w:val="004E5FC7"/>
    <w:rsid w:val="00781E3D"/>
    <w:rsid w:val="007D07B5"/>
    <w:rsid w:val="00AF014A"/>
    <w:rsid w:val="00D96347"/>
    <w:rsid w:val="00DE54BD"/>
    <w:rsid w:val="00E34463"/>
    <w:rsid w:val="00E36CB2"/>
    <w:rsid w:val="00EC66BA"/>
    <w:rsid w:val="00F47B9E"/>
    <w:rsid w:val="00F5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533F"/>
  <w15:chartTrackingRefBased/>
  <w15:docId w15:val="{DD19181A-E399-4734-8503-B02D810F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4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B9E"/>
    <w:pPr>
      <w:spacing w:after="0" w:line="240" w:lineRule="auto"/>
    </w:pPr>
  </w:style>
  <w:style w:type="table" w:styleId="TableGrid">
    <w:name w:val="Table Grid"/>
    <w:basedOn w:val="TableNormal"/>
    <w:uiPriority w:val="39"/>
    <w:rsid w:val="00E344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088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rsid w:val="000910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14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pglobal.org/donor-bill-righ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2011.cutetax.ca/E/pub/tp/it110r3/READM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Code</dc:creator>
  <cp:keywords/>
  <dc:description/>
  <cp:lastModifiedBy>Dayna DeBenedet</cp:lastModifiedBy>
  <cp:revision>7</cp:revision>
  <dcterms:created xsi:type="dcterms:W3CDTF">2023-05-20T17:34:00Z</dcterms:created>
  <dcterms:modified xsi:type="dcterms:W3CDTF">2023-07-11T19:38:00Z</dcterms:modified>
</cp:coreProperties>
</file>